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ajorEastAsia" w:hAnsi="Arial" w:cs="Arial"/>
          <w:sz w:val="76"/>
          <w:szCs w:val="72"/>
        </w:rPr>
        <w:id w:val="2675854"/>
        <w:docPartObj>
          <w:docPartGallery w:val="Cover Pages"/>
          <w:docPartUnique/>
        </w:docPartObj>
      </w:sdtPr>
      <w:sdtEndPr>
        <w:rPr>
          <w:rFonts w:eastAsiaTheme="minorEastAsia"/>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4223"/>
            <w:gridCol w:w="4847"/>
          </w:tblGrid>
          <w:tr w:rsidR="00F87F75">
            <w:sdt>
              <w:sdtPr>
                <w:rPr>
                  <w:rFonts w:ascii="Arial" w:eastAsiaTheme="majorEastAsia" w:hAnsi="Arial" w:cs="Arial"/>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rPr>
                  <w:color w:val="003399"/>
                  <w:sz w:val="72"/>
                </w:rPr>
              </w:sdtEndPr>
              <w:sdtContent>
                <w:tc>
                  <w:tcPr>
                    <w:tcW w:w="4635" w:type="dxa"/>
                    <w:vAlign w:val="center"/>
                  </w:tcPr>
                  <w:p w:rsidR="00F87F75" w:rsidRDefault="006334E5">
                    <w:pPr>
                      <w:pStyle w:val="NoSpacing"/>
                      <w:rPr>
                        <w:rFonts w:ascii="Arial" w:eastAsiaTheme="majorEastAsia" w:hAnsi="Arial" w:cs="Arial"/>
                        <w:sz w:val="76"/>
                        <w:szCs w:val="72"/>
                      </w:rPr>
                    </w:pPr>
                    <w:r>
                      <w:rPr>
                        <w:rFonts w:ascii="Arial" w:eastAsiaTheme="majorEastAsia" w:hAnsi="Arial" w:cs="Arial"/>
                        <w:sz w:val="72"/>
                        <w:szCs w:val="72"/>
                      </w:rPr>
                      <w:t>Late Arrival to Exams</w:t>
                    </w:r>
                  </w:p>
                </w:tc>
              </w:sdtContent>
            </w:sdt>
            <w:tc>
              <w:tcPr>
                <w:tcW w:w="4867" w:type="dxa"/>
                <w:vAlign w:val="center"/>
              </w:tcPr>
              <w:sdt>
                <w:sdtPr>
                  <w:rPr>
                    <w:rFonts w:ascii="Arial" w:hAnsi="Arial" w:cs="Arial"/>
                    <w:color w:val="003399"/>
                    <w:sz w:val="120"/>
                    <w:szCs w:val="120"/>
                  </w:rPr>
                  <w:alias w:val="Year"/>
                  <w:id w:val="27671317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F87F75" w:rsidRDefault="006334E5">
                    <w:pPr>
                      <w:pStyle w:val="NoSpacing"/>
                      <w:rPr>
                        <w:rFonts w:ascii="Arial" w:hAnsi="Arial" w:cs="Arial"/>
                        <w:color w:val="4F81BD" w:themeColor="accent1"/>
                        <w:sz w:val="120"/>
                        <w:szCs w:val="120"/>
                      </w:rPr>
                    </w:pPr>
                    <w:r>
                      <w:rPr>
                        <w:rFonts w:ascii="Arial" w:hAnsi="Arial" w:cs="Arial"/>
                        <w:sz w:val="120"/>
                        <w:szCs w:val="120"/>
                        <w:lang w:val="en-US"/>
                      </w:rPr>
                      <w:t>202</w:t>
                    </w:r>
                    <w:r w:rsidR="00A03824">
                      <w:rPr>
                        <w:rFonts w:ascii="Arial" w:hAnsi="Arial" w:cs="Arial"/>
                        <w:sz w:val="120"/>
                        <w:szCs w:val="120"/>
                        <w:lang w:val="en-US"/>
                      </w:rPr>
                      <w:t>4</w:t>
                    </w:r>
                    <w:r>
                      <w:rPr>
                        <w:rFonts w:ascii="Arial" w:hAnsi="Arial" w:cs="Arial"/>
                        <w:sz w:val="120"/>
                        <w:szCs w:val="120"/>
                        <w:lang w:val="en-US"/>
                      </w:rPr>
                      <w:t>/2</w:t>
                    </w:r>
                    <w:r w:rsidR="00A03824">
                      <w:rPr>
                        <w:rFonts w:ascii="Arial" w:hAnsi="Arial" w:cs="Arial"/>
                        <w:sz w:val="120"/>
                        <w:szCs w:val="120"/>
                        <w:lang w:val="en-US"/>
                      </w:rPr>
                      <w:t>5</w:t>
                    </w:r>
                  </w:p>
                </w:sdtContent>
              </w:sdt>
            </w:tc>
          </w:tr>
        </w:tbl>
        <w:p w:rsidR="00F87F75" w:rsidRDefault="006334E5">
          <w:pPr>
            <w:jc w:val="center"/>
            <w:rPr>
              <w:rFonts w:eastAsia="Times New Roman" w:cs="Arial"/>
              <w:b/>
              <w:color w:val="003399"/>
              <w:sz w:val="28"/>
              <w:szCs w:val="28"/>
            </w:rPr>
          </w:pPr>
          <w:r>
            <w:rPr>
              <w:rFonts w:cs="Arial"/>
              <w:b/>
              <w:noProof/>
            </w:rPr>
            <w:drawing>
              <wp:anchor distT="0" distB="0" distL="114300" distR="114300" simplePos="0" relativeHeight="251672576" behindDoc="0" locked="0" layoutInCell="1" allowOverlap="1">
                <wp:simplePos x="0" y="0"/>
                <wp:positionH relativeFrom="column">
                  <wp:posOffset>1652270</wp:posOffset>
                </wp:positionH>
                <wp:positionV relativeFrom="paragraph">
                  <wp:posOffset>-81280</wp:posOffset>
                </wp:positionV>
                <wp:extent cx="2314575" cy="1819275"/>
                <wp:effectExtent l="0" t="0" r="0" b="0"/>
                <wp:wrapSquare wrapText="bothSides"/>
                <wp:docPr id="3" name="Picture 3" descr="St Michael's 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Michael's roun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4575"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br w:type="page"/>
          </w:r>
        </w:p>
      </w:sdtContent>
    </w:sdt>
    <w:p w:rsidR="00F87F75" w:rsidRDefault="00F87F75">
      <w:pPr>
        <w:ind w:left="360"/>
        <w:rPr>
          <w:rFonts w:asciiTheme="minorHAnsi" w:hAnsiTheme="minorHAnsi" w:cs="Arial"/>
          <w:color w:val="333333"/>
        </w:rPr>
      </w:pPr>
    </w:p>
    <w:p w:rsidR="00F87F75" w:rsidRDefault="006334E5">
      <w:pPr>
        <w:ind w:left="360"/>
        <w:rPr>
          <w:rFonts w:asciiTheme="minorHAnsi" w:hAnsiTheme="minorHAnsi" w:cs="Arial"/>
          <w:color w:val="333333"/>
        </w:rPr>
      </w:pPr>
      <w:r>
        <w:rPr>
          <w:rFonts w:asciiTheme="minorHAnsi" w:hAnsiTheme="minorHAnsi" w:cs="Arial"/>
          <w:color w:val="333333"/>
        </w:rPr>
        <w:t>It is entirely at the discretion of St Michael’s Catholic School if a candidate is allowed to sit an examination if they are a late arrival. The policy below follows the rules as set by the Joint Council for Qualifications (JCQ) “Instructions for Conducting Examinations”.</w:t>
      </w:r>
    </w:p>
    <w:p w:rsidR="00F87F75" w:rsidRDefault="00F87F75">
      <w:pPr>
        <w:ind w:left="360"/>
        <w:rPr>
          <w:rFonts w:asciiTheme="minorHAnsi" w:hAnsiTheme="minorHAnsi" w:cs="Arial"/>
          <w:color w:val="333333"/>
        </w:rPr>
      </w:pPr>
    </w:p>
    <w:p w:rsidR="00F87F75" w:rsidRDefault="006334E5">
      <w:pPr>
        <w:ind w:left="360"/>
        <w:rPr>
          <w:rFonts w:asciiTheme="minorHAnsi" w:hAnsiTheme="minorHAnsi" w:cs="Arial"/>
          <w:b/>
          <w:color w:val="333333"/>
          <w:sz w:val="28"/>
          <w:szCs w:val="28"/>
        </w:rPr>
      </w:pPr>
      <w:r>
        <w:rPr>
          <w:rFonts w:asciiTheme="minorHAnsi" w:hAnsiTheme="minorHAnsi" w:cs="Arial"/>
          <w:b/>
          <w:color w:val="333333"/>
          <w:sz w:val="28"/>
          <w:szCs w:val="28"/>
        </w:rPr>
        <w:t>Parent/Pupil Responsibilities</w:t>
      </w:r>
    </w:p>
    <w:p w:rsidR="00F87F75" w:rsidRDefault="00F87F75">
      <w:pPr>
        <w:ind w:left="360"/>
        <w:rPr>
          <w:rFonts w:asciiTheme="minorHAnsi" w:hAnsiTheme="minorHAnsi" w:cs="Arial"/>
          <w:b/>
          <w:color w:val="333333"/>
          <w:sz w:val="28"/>
          <w:szCs w:val="28"/>
        </w:rPr>
      </w:pPr>
    </w:p>
    <w:p w:rsidR="00F87F75" w:rsidRDefault="006334E5">
      <w:pPr>
        <w:pStyle w:val="ListParagraph"/>
        <w:numPr>
          <w:ilvl w:val="0"/>
          <w:numId w:val="15"/>
        </w:numPr>
        <w:rPr>
          <w:rFonts w:asciiTheme="minorHAnsi" w:hAnsiTheme="minorHAnsi" w:cs="Arial"/>
          <w:color w:val="333333"/>
        </w:rPr>
      </w:pPr>
      <w:r>
        <w:rPr>
          <w:rFonts w:asciiTheme="minorHAnsi" w:hAnsiTheme="minorHAnsi" w:cs="Arial"/>
          <w:color w:val="333333"/>
        </w:rPr>
        <w:t>If a candidate knows that they are going to be late arriving to an exam, they must:</w:t>
      </w:r>
    </w:p>
    <w:p w:rsidR="00F87F75" w:rsidRDefault="00F87F75">
      <w:pPr>
        <w:rPr>
          <w:rFonts w:asciiTheme="minorHAnsi" w:hAnsiTheme="minorHAnsi" w:cs="Arial"/>
          <w:color w:val="333333"/>
        </w:rPr>
      </w:pPr>
    </w:p>
    <w:p w:rsidR="00F87F75" w:rsidRDefault="006334E5">
      <w:pPr>
        <w:pStyle w:val="ListParagraph"/>
        <w:numPr>
          <w:ilvl w:val="1"/>
          <w:numId w:val="15"/>
        </w:numPr>
        <w:rPr>
          <w:rFonts w:asciiTheme="minorHAnsi" w:hAnsiTheme="minorHAnsi" w:cs="Arial"/>
          <w:color w:val="333333"/>
        </w:rPr>
      </w:pPr>
      <w:r>
        <w:rPr>
          <w:rFonts w:asciiTheme="minorHAnsi" w:hAnsiTheme="minorHAnsi" w:cs="Arial"/>
          <w:color w:val="333333"/>
        </w:rPr>
        <w:t xml:space="preserve">Ring the exam mobile number </w:t>
      </w:r>
      <w:r>
        <w:rPr>
          <w:rFonts w:asciiTheme="minorHAnsi" w:hAnsiTheme="minorHAnsi" w:cs="Arial"/>
          <w:b/>
          <w:color w:val="333333"/>
        </w:rPr>
        <w:t xml:space="preserve">07851252076 for Aylesbury </w:t>
      </w:r>
    </w:p>
    <w:p w:rsidR="00F87F75" w:rsidRDefault="006334E5">
      <w:pPr>
        <w:pStyle w:val="ListParagraph"/>
        <w:numPr>
          <w:ilvl w:val="1"/>
          <w:numId w:val="15"/>
        </w:numPr>
        <w:rPr>
          <w:rFonts w:asciiTheme="minorHAnsi" w:hAnsiTheme="minorHAnsi" w:cs="Arial"/>
          <w:color w:val="333333"/>
        </w:rPr>
      </w:pPr>
      <w:r>
        <w:rPr>
          <w:rFonts w:asciiTheme="minorHAnsi" w:hAnsiTheme="minorHAnsi" w:cs="Arial"/>
          <w:color w:val="333333"/>
        </w:rPr>
        <w:t>Contact the school’s Examinations Manage</w:t>
      </w:r>
      <w:bookmarkStart w:id="0" w:name="_GoBack"/>
      <w:bookmarkEnd w:id="0"/>
      <w:r>
        <w:rPr>
          <w:rFonts w:asciiTheme="minorHAnsi" w:hAnsiTheme="minorHAnsi" w:cs="Arial"/>
          <w:color w:val="333333"/>
        </w:rPr>
        <w:t xml:space="preserve">r/Officer immediately via Reception or the Absence line to inform the school that they are going to be late. </w:t>
      </w:r>
    </w:p>
    <w:p w:rsidR="00F87F75" w:rsidRDefault="006334E5">
      <w:pPr>
        <w:pStyle w:val="ListParagraph"/>
        <w:numPr>
          <w:ilvl w:val="1"/>
          <w:numId w:val="15"/>
        </w:numPr>
        <w:rPr>
          <w:rFonts w:asciiTheme="minorHAnsi" w:hAnsiTheme="minorHAnsi" w:cs="Arial"/>
          <w:color w:val="333333"/>
        </w:rPr>
      </w:pPr>
      <w:r>
        <w:rPr>
          <w:rFonts w:asciiTheme="minorHAnsi" w:hAnsiTheme="minorHAnsi" w:cs="Arial"/>
          <w:color w:val="333333"/>
        </w:rPr>
        <w:t>The candidate or parent/carer must give an approximate time of arrival.</w:t>
      </w:r>
    </w:p>
    <w:p w:rsidR="00F87F75" w:rsidRDefault="006334E5">
      <w:pPr>
        <w:pStyle w:val="ListParagraph"/>
        <w:numPr>
          <w:ilvl w:val="1"/>
          <w:numId w:val="15"/>
        </w:numPr>
        <w:rPr>
          <w:rFonts w:asciiTheme="minorHAnsi" w:hAnsiTheme="minorHAnsi" w:cs="Arial"/>
          <w:color w:val="333333"/>
        </w:rPr>
      </w:pPr>
      <w:r>
        <w:rPr>
          <w:rFonts w:asciiTheme="minorHAnsi" w:hAnsiTheme="minorHAnsi" w:cs="Arial"/>
          <w:color w:val="333333"/>
        </w:rPr>
        <w:t>The parent/carer must keep the candidate under supervision at all times, with no access to a phone, the internet etc.</w:t>
      </w:r>
    </w:p>
    <w:p w:rsidR="00F87F75" w:rsidRDefault="006334E5">
      <w:pPr>
        <w:pStyle w:val="ListParagraph"/>
        <w:numPr>
          <w:ilvl w:val="1"/>
          <w:numId w:val="15"/>
        </w:numPr>
        <w:rPr>
          <w:rFonts w:asciiTheme="minorHAnsi" w:hAnsiTheme="minorHAnsi" w:cs="Arial"/>
          <w:color w:val="333333"/>
        </w:rPr>
      </w:pPr>
      <w:r>
        <w:rPr>
          <w:rFonts w:asciiTheme="minorHAnsi" w:hAnsiTheme="minorHAnsi" w:cs="Arial"/>
          <w:color w:val="333333"/>
        </w:rPr>
        <w:t>The parent/carer must accompany the candidate into the secondary site reception area.</w:t>
      </w:r>
    </w:p>
    <w:p w:rsidR="00F87F75" w:rsidRDefault="006334E5">
      <w:pPr>
        <w:pStyle w:val="ListParagraph"/>
        <w:numPr>
          <w:ilvl w:val="1"/>
          <w:numId w:val="15"/>
        </w:numPr>
        <w:rPr>
          <w:rFonts w:asciiTheme="minorHAnsi" w:hAnsiTheme="minorHAnsi" w:cs="Arial"/>
          <w:color w:val="333333"/>
        </w:rPr>
      </w:pPr>
      <w:r>
        <w:rPr>
          <w:rFonts w:asciiTheme="minorHAnsi" w:hAnsiTheme="minorHAnsi" w:cs="Arial"/>
          <w:color w:val="333333"/>
        </w:rPr>
        <w:t>The parent/carer must remain with the candidate until they are collected by the Examinations Manager/Officer.</w:t>
      </w:r>
    </w:p>
    <w:p w:rsidR="00F87F75" w:rsidRDefault="006334E5">
      <w:pPr>
        <w:pStyle w:val="ListParagraph"/>
        <w:numPr>
          <w:ilvl w:val="1"/>
          <w:numId w:val="15"/>
        </w:numPr>
        <w:rPr>
          <w:rFonts w:asciiTheme="minorHAnsi" w:hAnsiTheme="minorHAnsi" w:cs="Arial"/>
          <w:color w:val="333333"/>
        </w:rPr>
      </w:pPr>
      <w:r>
        <w:rPr>
          <w:rFonts w:asciiTheme="minorHAnsi" w:hAnsiTheme="minorHAnsi" w:cs="Arial"/>
          <w:color w:val="333333"/>
        </w:rPr>
        <w:t>Based on the time of arrival (see below), the parent/carer must sign a statement to confirm that the supervision arrangements have been followed.</w:t>
      </w:r>
    </w:p>
    <w:p w:rsidR="00F87F75" w:rsidRDefault="00F87F75">
      <w:pPr>
        <w:pStyle w:val="ListParagraph"/>
        <w:ind w:left="1440"/>
        <w:rPr>
          <w:rFonts w:asciiTheme="minorHAnsi" w:hAnsiTheme="minorHAnsi" w:cs="Arial"/>
          <w:color w:val="333333"/>
        </w:rPr>
      </w:pPr>
    </w:p>
    <w:p w:rsidR="00F87F75" w:rsidRDefault="006334E5">
      <w:pPr>
        <w:pStyle w:val="ListParagraph"/>
        <w:numPr>
          <w:ilvl w:val="0"/>
          <w:numId w:val="15"/>
        </w:numPr>
        <w:rPr>
          <w:rFonts w:asciiTheme="minorHAnsi" w:hAnsiTheme="minorHAnsi" w:cs="Arial"/>
          <w:color w:val="333333"/>
        </w:rPr>
      </w:pPr>
      <w:r>
        <w:rPr>
          <w:rFonts w:asciiTheme="minorHAnsi" w:hAnsiTheme="minorHAnsi" w:cs="Arial"/>
          <w:color w:val="333333"/>
        </w:rPr>
        <w:t>The above procedure must also be followed if the candidate has not phoned in and the school make the initial contact with the parent/carer to advise them of a candidate’s non-arrival.</w:t>
      </w:r>
    </w:p>
    <w:p w:rsidR="00F87F75" w:rsidRDefault="00F87F75">
      <w:pPr>
        <w:ind w:left="360"/>
        <w:rPr>
          <w:rFonts w:cs="Arial"/>
          <w:color w:val="333333"/>
          <w:sz w:val="18"/>
          <w:szCs w:val="18"/>
        </w:rPr>
      </w:pPr>
    </w:p>
    <w:p w:rsidR="00F87F75" w:rsidRDefault="006334E5">
      <w:pPr>
        <w:ind w:left="360"/>
        <w:rPr>
          <w:rFonts w:asciiTheme="minorHAnsi" w:hAnsiTheme="minorHAnsi" w:cs="Arial"/>
          <w:b/>
          <w:color w:val="333333"/>
          <w:sz w:val="28"/>
          <w:szCs w:val="28"/>
        </w:rPr>
      </w:pPr>
      <w:r>
        <w:rPr>
          <w:rFonts w:asciiTheme="minorHAnsi" w:hAnsiTheme="minorHAnsi" w:cs="Arial"/>
          <w:b/>
          <w:color w:val="333333"/>
          <w:sz w:val="28"/>
          <w:szCs w:val="28"/>
        </w:rPr>
        <w:t>Arrival at School within One Hour of the Start Time</w:t>
      </w:r>
    </w:p>
    <w:p w:rsidR="00F87F75" w:rsidRDefault="00F87F75">
      <w:pPr>
        <w:pStyle w:val="ListParagraph"/>
        <w:rPr>
          <w:rFonts w:cs="Arial"/>
          <w:color w:val="333333"/>
          <w:sz w:val="18"/>
          <w:szCs w:val="18"/>
        </w:rPr>
      </w:pPr>
    </w:p>
    <w:p w:rsidR="00F87F75" w:rsidRDefault="006334E5">
      <w:pPr>
        <w:pStyle w:val="ListParagraph"/>
        <w:numPr>
          <w:ilvl w:val="0"/>
          <w:numId w:val="15"/>
        </w:numPr>
        <w:rPr>
          <w:rFonts w:asciiTheme="minorHAnsi" w:hAnsiTheme="minorHAnsi" w:cs="Arial"/>
          <w:color w:val="333333"/>
        </w:rPr>
      </w:pPr>
      <w:r>
        <w:rPr>
          <w:rFonts w:asciiTheme="minorHAnsi" w:hAnsiTheme="minorHAnsi" w:cs="Arial"/>
          <w:color w:val="333333"/>
        </w:rPr>
        <w:t>A candidate arriving late but who is within one hour of the published starting of an examination time (when the exam is more than one hour in length) will be allowed to sit the exam.</w:t>
      </w:r>
    </w:p>
    <w:p w:rsidR="00F87F75" w:rsidRDefault="00F87F75">
      <w:pPr>
        <w:pStyle w:val="ListParagraph"/>
        <w:rPr>
          <w:rFonts w:asciiTheme="minorHAnsi" w:hAnsiTheme="minorHAnsi" w:cs="Arial"/>
          <w:color w:val="333333"/>
        </w:rPr>
      </w:pPr>
    </w:p>
    <w:p w:rsidR="00F87F75" w:rsidRDefault="006334E5">
      <w:pPr>
        <w:pStyle w:val="ListParagraph"/>
        <w:numPr>
          <w:ilvl w:val="0"/>
          <w:numId w:val="12"/>
        </w:numPr>
        <w:rPr>
          <w:rFonts w:asciiTheme="minorHAnsi" w:hAnsiTheme="minorHAnsi" w:cs="Arial"/>
          <w:color w:val="333333"/>
        </w:rPr>
      </w:pPr>
      <w:r>
        <w:rPr>
          <w:rFonts w:asciiTheme="minorHAnsi" w:hAnsiTheme="minorHAnsi" w:cs="Arial"/>
          <w:color w:val="333333"/>
        </w:rPr>
        <w:t>On arrival, the candidate will be taken to their nominated exam room by the Examinations Manager/Officer (or any other designated member of the school staff).</w:t>
      </w:r>
    </w:p>
    <w:p w:rsidR="00F87F75" w:rsidRDefault="00F87F75">
      <w:pPr>
        <w:rPr>
          <w:rFonts w:asciiTheme="minorHAnsi" w:hAnsiTheme="minorHAnsi" w:cs="Arial"/>
          <w:color w:val="333333"/>
        </w:rPr>
      </w:pPr>
    </w:p>
    <w:p w:rsidR="00F87F75" w:rsidRDefault="006334E5">
      <w:pPr>
        <w:pStyle w:val="ListParagraph"/>
        <w:numPr>
          <w:ilvl w:val="0"/>
          <w:numId w:val="18"/>
        </w:numPr>
        <w:rPr>
          <w:rFonts w:asciiTheme="minorHAnsi" w:hAnsiTheme="minorHAnsi" w:cs="Arial"/>
          <w:color w:val="333333"/>
        </w:rPr>
      </w:pPr>
      <w:r>
        <w:rPr>
          <w:rFonts w:asciiTheme="minorHAnsi" w:hAnsiTheme="minorHAnsi" w:cs="Arial"/>
          <w:color w:val="333333"/>
        </w:rPr>
        <w:t>The candidate will be allowed the full time for the examination under the normal exam conditions.</w:t>
      </w:r>
    </w:p>
    <w:p w:rsidR="00F87F75" w:rsidRDefault="00F87F75">
      <w:pPr>
        <w:pStyle w:val="ListParagraph"/>
        <w:rPr>
          <w:rFonts w:asciiTheme="minorHAnsi" w:hAnsiTheme="minorHAnsi" w:cs="Arial"/>
          <w:color w:val="333333"/>
        </w:rPr>
      </w:pPr>
    </w:p>
    <w:p w:rsidR="00F87F75" w:rsidRDefault="006334E5">
      <w:pPr>
        <w:pStyle w:val="ListParagraph"/>
        <w:numPr>
          <w:ilvl w:val="0"/>
          <w:numId w:val="18"/>
        </w:numPr>
        <w:rPr>
          <w:rFonts w:asciiTheme="minorHAnsi" w:hAnsiTheme="minorHAnsi" w:cs="Arial"/>
          <w:color w:val="333333"/>
        </w:rPr>
      </w:pPr>
      <w:r>
        <w:rPr>
          <w:rFonts w:asciiTheme="minorHAnsi" w:hAnsiTheme="minorHAnsi" w:cs="Arial"/>
          <w:color w:val="333333"/>
        </w:rPr>
        <w:t>In these circumstances, the relevant examining board would not be informed and the exam script will be sent as normal.</w:t>
      </w:r>
    </w:p>
    <w:p w:rsidR="00F87F75" w:rsidRDefault="00F87F75">
      <w:pPr>
        <w:rPr>
          <w:rFonts w:asciiTheme="minorHAnsi" w:hAnsiTheme="minorHAnsi" w:cs="Arial"/>
          <w:color w:val="333333"/>
        </w:rPr>
      </w:pPr>
    </w:p>
    <w:p w:rsidR="00F87F75" w:rsidRDefault="006334E5">
      <w:pPr>
        <w:spacing w:after="200" w:line="276" w:lineRule="auto"/>
        <w:rPr>
          <w:rFonts w:asciiTheme="minorHAnsi" w:hAnsiTheme="minorHAnsi" w:cs="Arial"/>
          <w:b/>
          <w:color w:val="333333"/>
          <w:sz w:val="28"/>
          <w:szCs w:val="28"/>
        </w:rPr>
      </w:pPr>
      <w:r>
        <w:rPr>
          <w:rFonts w:asciiTheme="minorHAnsi" w:hAnsiTheme="minorHAnsi" w:cs="Arial"/>
          <w:b/>
          <w:color w:val="333333"/>
          <w:sz w:val="28"/>
          <w:szCs w:val="28"/>
        </w:rPr>
        <w:br w:type="page"/>
      </w:r>
    </w:p>
    <w:p w:rsidR="00F87F75" w:rsidRDefault="006334E5">
      <w:pPr>
        <w:ind w:left="360"/>
        <w:rPr>
          <w:rFonts w:asciiTheme="minorHAnsi" w:hAnsiTheme="minorHAnsi" w:cs="Arial"/>
          <w:b/>
          <w:color w:val="333333"/>
          <w:sz w:val="28"/>
          <w:szCs w:val="28"/>
        </w:rPr>
      </w:pPr>
      <w:r>
        <w:rPr>
          <w:rFonts w:asciiTheme="minorHAnsi" w:hAnsiTheme="minorHAnsi" w:cs="Arial"/>
          <w:b/>
          <w:color w:val="333333"/>
          <w:sz w:val="28"/>
          <w:szCs w:val="28"/>
        </w:rPr>
        <w:lastRenderedPageBreak/>
        <w:t>Arrival at School after One Hour of the Start Time</w:t>
      </w:r>
    </w:p>
    <w:p w:rsidR="00F87F75" w:rsidRDefault="00F87F75">
      <w:pPr>
        <w:ind w:left="360"/>
        <w:rPr>
          <w:rFonts w:asciiTheme="minorHAnsi" w:hAnsiTheme="minorHAnsi" w:cs="Arial"/>
          <w:b/>
          <w:color w:val="333333"/>
          <w:sz w:val="28"/>
          <w:szCs w:val="28"/>
        </w:rPr>
      </w:pPr>
    </w:p>
    <w:p w:rsidR="00F87F75" w:rsidRDefault="006334E5">
      <w:pPr>
        <w:pStyle w:val="ListParagraph"/>
        <w:numPr>
          <w:ilvl w:val="0"/>
          <w:numId w:val="20"/>
        </w:numPr>
        <w:rPr>
          <w:rFonts w:asciiTheme="minorHAnsi" w:hAnsiTheme="minorHAnsi" w:cs="Arial"/>
          <w:color w:val="333333"/>
        </w:rPr>
      </w:pPr>
      <w:r>
        <w:rPr>
          <w:rFonts w:asciiTheme="minorHAnsi" w:hAnsiTheme="minorHAnsi" w:cs="Arial"/>
          <w:color w:val="333333"/>
        </w:rPr>
        <w:t>A candidate will be considered very late for an examination if they arrive more than one hour after the published start time of an examination.</w:t>
      </w:r>
    </w:p>
    <w:p w:rsidR="00F87F75" w:rsidRDefault="00F87F75">
      <w:pPr>
        <w:pStyle w:val="ListParagraph"/>
        <w:rPr>
          <w:rFonts w:asciiTheme="minorHAnsi" w:hAnsiTheme="minorHAnsi" w:cs="Arial"/>
          <w:color w:val="333333"/>
        </w:rPr>
      </w:pPr>
    </w:p>
    <w:p w:rsidR="00F87F75" w:rsidRDefault="006334E5">
      <w:pPr>
        <w:pStyle w:val="ListParagraph"/>
        <w:numPr>
          <w:ilvl w:val="0"/>
          <w:numId w:val="20"/>
        </w:numPr>
        <w:rPr>
          <w:rFonts w:asciiTheme="minorHAnsi" w:hAnsiTheme="minorHAnsi" w:cs="Arial"/>
          <w:color w:val="333333"/>
        </w:rPr>
      </w:pPr>
      <w:r>
        <w:rPr>
          <w:rFonts w:asciiTheme="minorHAnsi" w:hAnsiTheme="minorHAnsi" w:cs="Arial"/>
          <w:color w:val="333333"/>
        </w:rPr>
        <w:t>For examinations that are an hour long, a candidate will be considered very late if they arrive after the published finish time of an exam.</w:t>
      </w:r>
    </w:p>
    <w:p w:rsidR="00F87F75" w:rsidRDefault="00F87F75">
      <w:pPr>
        <w:rPr>
          <w:rFonts w:asciiTheme="minorHAnsi" w:hAnsiTheme="minorHAnsi" w:cs="Arial"/>
          <w:color w:val="333333"/>
        </w:rPr>
      </w:pPr>
    </w:p>
    <w:p w:rsidR="00F87F75" w:rsidRDefault="006334E5">
      <w:pPr>
        <w:pStyle w:val="ListParagraph"/>
        <w:numPr>
          <w:ilvl w:val="0"/>
          <w:numId w:val="15"/>
        </w:numPr>
        <w:rPr>
          <w:rFonts w:asciiTheme="minorHAnsi" w:hAnsiTheme="minorHAnsi" w:cs="Arial"/>
          <w:color w:val="333333"/>
        </w:rPr>
      </w:pPr>
      <w:r>
        <w:rPr>
          <w:rFonts w:asciiTheme="minorHAnsi" w:hAnsiTheme="minorHAnsi" w:cs="Arial"/>
          <w:color w:val="333333"/>
        </w:rPr>
        <w:t xml:space="preserve">A candidate arriving very late will be allowed to sit the exam. </w:t>
      </w:r>
    </w:p>
    <w:p w:rsidR="00F87F75" w:rsidRDefault="00F87F75">
      <w:pPr>
        <w:rPr>
          <w:rFonts w:asciiTheme="minorHAnsi" w:hAnsiTheme="minorHAnsi" w:cs="Arial"/>
          <w:color w:val="333333"/>
        </w:rPr>
      </w:pPr>
    </w:p>
    <w:p w:rsidR="00F87F75" w:rsidRDefault="006334E5">
      <w:pPr>
        <w:pStyle w:val="ListParagraph"/>
        <w:numPr>
          <w:ilvl w:val="0"/>
          <w:numId w:val="15"/>
        </w:numPr>
        <w:rPr>
          <w:rFonts w:asciiTheme="minorHAnsi" w:hAnsiTheme="minorHAnsi" w:cs="Arial"/>
          <w:color w:val="333333"/>
        </w:rPr>
      </w:pPr>
      <w:r>
        <w:rPr>
          <w:rFonts w:asciiTheme="minorHAnsi" w:hAnsiTheme="minorHAnsi" w:cs="Arial"/>
          <w:color w:val="333333"/>
        </w:rPr>
        <w:t>On arrival they will be warned that the examining board may not accept their work.</w:t>
      </w:r>
    </w:p>
    <w:p w:rsidR="00F87F75" w:rsidRDefault="00F87F75">
      <w:pPr>
        <w:pStyle w:val="ListParagraph"/>
        <w:rPr>
          <w:rFonts w:asciiTheme="minorHAnsi" w:hAnsiTheme="minorHAnsi" w:cs="Arial"/>
          <w:color w:val="333333"/>
        </w:rPr>
      </w:pPr>
    </w:p>
    <w:p w:rsidR="00F87F75" w:rsidRDefault="006334E5">
      <w:pPr>
        <w:pStyle w:val="ListParagraph"/>
        <w:numPr>
          <w:ilvl w:val="0"/>
          <w:numId w:val="12"/>
        </w:numPr>
        <w:rPr>
          <w:rFonts w:asciiTheme="minorHAnsi" w:hAnsiTheme="minorHAnsi" w:cs="Arial"/>
          <w:color w:val="333333"/>
        </w:rPr>
      </w:pPr>
      <w:r>
        <w:rPr>
          <w:rFonts w:asciiTheme="minorHAnsi" w:hAnsiTheme="minorHAnsi" w:cs="Arial"/>
          <w:color w:val="333333"/>
        </w:rPr>
        <w:t>The candidate will be taken to their nominated exam room by the Examinations Manager (or any other designated member of the school staff).</w:t>
      </w:r>
    </w:p>
    <w:p w:rsidR="00F87F75" w:rsidRDefault="00F87F75">
      <w:pPr>
        <w:rPr>
          <w:rFonts w:asciiTheme="minorHAnsi" w:hAnsiTheme="minorHAnsi" w:cs="Arial"/>
          <w:color w:val="333333"/>
        </w:rPr>
      </w:pPr>
    </w:p>
    <w:p w:rsidR="00F87F75" w:rsidRDefault="006334E5">
      <w:pPr>
        <w:pStyle w:val="ListParagraph"/>
        <w:numPr>
          <w:ilvl w:val="0"/>
          <w:numId w:val="18"/>
        </w:numPr>
        <w:rPr>
          <w:rFonts w:asciiTheme="minorHAnsi" w:hAnsiTheme="minorHAnsi" w:cs="Arial"/>
          <w:color w:val="333333"/>
        </w:rPr>
      </w:pPr>
      <w:r>
        <w:rPr>
          <w:rFonts w:asciiTheme="minorHAnsi" w:hAnsiTheme="minorHAnsi" w:cs="Arial"/>
          <w:color w:val="333333"/>
        </w:rPr>
        <w:t>The candidate will be allowed the full time for the examination, under the normal exam conditions.</w:t>
      </w:r>
    </w:p>
    <w:p w:rsidR="00F87F75" w:rsidRDefault="00F87F75">
      <w:pPr>
        <w:rPr>
          <w:rFonts w:asciiTheme="minorHAnsi" w:hAnsiTheme="minorHAnsi" w:cs="Arial"/>
          <w:color w:val="333333"/>
        </w:rPr>
      </w:pPr>
    </w:p>
    <w:p w:rsidR="00F87F75" w:rsidRDefault="006334E5">
      <w:pPr>
        <w:pStyle w:val="ListParagraph"/>
        <w:numPr>
          <w:ilvl w:val="0"/>
          <w:numId w:val="18"/>
        </w:numPr>
        <w:rPr>
          <w:rFonts w:asciiTheme="minorHAnsi" w:hAnsiTheme="minorHAnsi" w:cs="Arial"/>
          <w:color w:val="333333"/>
        </w:rPr>
      </w:pPr>
      <w:r>
        <w:rPr>
          <w:rFonts w:asciiTheme="minorHAnsi" w:hAnsiTheme="minorHAnsi" w:cs="Arial"/>
          <w:color w:val="333333"/>
        </w:rPr>
        <w:t>The exam script will be sent to examining board as normal.</w:t>
      </w:r>
    </w:p>
    <w:p w:rsidR="00F87F75" w:rsidRDefault="00F87F75">
      <w:pPr>
        <w:pStyle w:val="ListParagraph"/>
        <w:rPr>
          <w:rFonts w:asciiTheme="minorHAnsi" w:hAnsiTheme="minorHAnsi" w:cs="Arial"/>
          <w:color w:val="333333"/>
        </w:rPr>
      </w:pPr>
    </w:p>
    <w:p w:rsidR="00F87F75" w:rsidRDefault="006334E5">
      <w:pPr>
        <w:pStyle w:val="ListParagraph"/>
        <w:numPr>
          <w:ilvl w:val="0"/>
          <w:numId w:val="18"/>
        </w:numPr>
        <w:rPr>
          <w:rFonts w:asciiTheme="minorHAnsi" w:hAnsiTheme="minorHAnsi" w:cs="Arial"/>
          <w:color w:val="333333"/>
        </w:rPr>
      </w:pPr>
      <w:r>
        <w:rPr>
          <w:rFonts w:asciiTheme="minorHAnsi" w:hAnsiTheme="minorHAnsi" w:cs="Arial"/>
          <w:color w:val="333333"/>
        </w:rPr>
        <w:t>The Examinations Manager/Officer will complete the Very late Arrival form on the Centre Admin Portal within seven days of the exam taking place, ensuring that all the relevant information is included and send it to the relevant examining board.</w:t>
      </w:r>
    </w:p>
    <w:p w:rsidR="00F87F75" w:rsidRDefault="00F87F75">
      <w:pPr>
        <w:pStyle w:val="ListParagraph"/>
        <w:rPr>
          <w:rFonts w:asciiTheme="minorHAnsi" w:hAnsiTheme="minorHAnsi" w:cs="Arial"/>
          <w:color w:val="333333"/>
        </w:rPr>
      </w:pPr>
    </w:p>
    <w:p w:rsidR="00F87F75" w:rsidRDefault="006334E5">
      <w:pPr>
        <w:pStyle w:val="ListParagraph"/>
        <w:numPr>
          <w:ilvl w:val="0"/>
          <w:numId w:val="18"/>
        </w:numPr>
        <w:rPr>
          <w:rFonts w:asciiTheme="minorHAnsi" w:hAnsiTheme="minorHAnsi" w:cs="Arial"/>
          <w:color w:val="333333"/>
        </w:rPr>
      </w:pPr>
      <w:r>
        <w:rPr>
          <w:rFonts w:asciiTheme="minorHAnsi" w:hAnsiTheme="minorHAnsi" w:cs="Arial"/>
          <w:color w:val="333333"/>
        </w:rPr>
        <w:t>The candidate will be informed in writing as to the decision made by the examining board as to whether their work has been accepted.</w:t>
      </w:r>
    </w:p>
    <w:p w:rsidR="00F87F75" w:rsidRDefault="006334E5">
      <w:pPr>
        <w:spacing w:after="200" w:line="276" w:lineRule="auto"/>
        <w:rPr>
          <w:rFonts w:asciiTheme="minorHAnsi" w:hAnsiTheme="minorHAnsi" w:cs="Arial"/>
          <w:color w:val="333333"/>
        </w:rPr>
      </w:pPr>
      <w:r>
        <w:rPr>
          <w:rFonts w:asciiTheme="minorHAnsi" w:hAnsiTheme="minorHAnsi" w:cs="Arial"/>
          <w:color w:val="333333"/>
        </w:rPr>
        <w:br w:type="page"/>
      </w:r>
    </w:p>
    <w:p w:rsidR="00F87F75" w:rsidRDefault="006334E5">
      <w:pPr>
        <w:rPr>
          <w:rFonts w:asciiTheme="minorHAnsi" w:hAnsiTheme="minorHAnsi" w:cs="Arial"/>
          <w:color w:val="333333"/>
        </w:rPr>
      </w:pPr>
      <w:r>
        <w:rPr>
          <w:rFonts w:cs="Arial"/>
          <w:b/>
          <w:noProof/>
        </w:rPr>
        <w:lastRenderedPageBreak/>
        <w:drawing>
          <wp:anchor distT="0" distB="0" distL="114300" distR="114300" simplePos="0" relativeHeight="251674624" behindDoc="0" locked="0" layoutInCell="1" allowOverlap="1">
            <wp:simplePos x="0" y="0"/>
            <wp:positionH relativeFrom="column">
              <wp:posOffset>1688465</wp:posOffset>
            </wp:positionH>
            <wp:positionV relativeFrom="paragraph">
              <wp:posOffset>-167005</wp:posOffset>
            </wp:positionV>
            <wp:extent cx="2573020" cy="1819275"/>
            <wp:effectExtent l="0" t="0" r="0" b="0"/>
            <wp:wrapSquare wrapText="bothSides"/>
            <wp:docPr id="1" name="Picture 1" descr="St Michael's 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Michael's roun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3020"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7F75" w:rsidRDefault="00F87F75">
      <w:pPr>
        <w:rPr>
          <w:rFonts w:asciiTheme="minorHAnsi" w:hAnsiTheme="minorHAnsi" w:cs="Arial"/>
          <w:color w:val="333333"/>
        </w:rPr>
      </w:pPr>
    </w:p>
    <w:p w:rsidR="00F87F75" w:rsidRDefault="00F87F75">
      <w:pPr>
        <w:rPr>
          <w:rFonts w:asciiTheme="minorHAnsi" w:hAnsiTheme="minorHAnsi" w:cs="Arial"/>
          <w:color w:val="333333"/>
        </w:rPr>
      </w:pPr>
    </w:p>
    <w:p w:rsidR="00F87F75" w:rsidRDefault="00F87F75">
      <w:pPr>
        <w:rPr>
          <w:rFonts w:asciiTheme="minorHAnsi" w:hAnsiTheme="minorHAnsi" w:cs="Arial"/>
          <w:color w:val="333333"/>
        </w:rPr>
      </w:pPr>
    </w:p>
    <w:p w:rsidR="00F87F75" w:rsidRDefault="00F87F75">
      <w:pPr>
        <w:rPr>
          <w:rFonts w:asciiTheme="minorHAnsi" w:hAnsiTheme="minorHAnsi" w:cs="Arial"/>
          <w:color w:val="333333"/>
        </w:rPr>
      </w:pPr>
    </w:p>
    <w:p w:rsidR="00F87F75" w:rsidRDefault="00F87F75">
      <w:pPr>
        <w:rPr>
          <w:rFonts w:asciiTheme="minorHAnsi" w:hAnsiTheme="minorHAnsi" w:cs="Arial"/>
          <w:color w:val="333333"/>
        </w:rPr>
      </w:pPr>
    </w:p>
    <w:p w:rsidR="00F87F75" w:rsidRDefault="00F87F75">
      <w:pPr>
        <w:rPr>
          <w:rFonts w:asciiTheme="minorHAnsi" w:hAnsiTheme="minorHAnsi" w:cs="Arial"/>
          <w:color w:val="333333"/>
        </w:rPr>
      </w:pPr>
    </w:p>
    <w:p w:rsidR="00F87F75" w:rsidRDefault="00F87F75">
      <w:pPr>
        <w:rPr>
          <w:rFonts w:asciiTheme="minorHAnsi" w:hAnsiTheme="minorHAnsi" w:cs="Arial"/>
          <w:color w:val="333333"/>
        </w:rPr>
      </w:pPr>
    </w:p>
    <w:p w:rsidR="00F87F75" w:rsidRDefault="00F87F75">
      <w:pPr>
        <w:rPr>
          <w:rFonts w:asciiTheme="minorHAnsi" w:hAnsiTheme="minorHAnsi" w:cs="Arial"/>
          <w:color w:val="333333"/>
        </w:rPr>
      </w:pPr>
    </w:p>
    <w:p w:rsidR="00F87F75" w:rsidRDefault="006334E5">
      <w:pPr>
        <w:jc w:val="center"/>
        <w:rPr>
          <w:rFonts w:asciiTheme="minorHAnsi" w:hAnsiTheme="minorHAnsi" w:cs="Arial"/>
          <w:b/>
          <w:color w:val="333333"/>
          <w:sz w:val="36"/>
          <w:szCs w:val="36"/>
        </w:rPr>
      </w:pPr>
      <w:r>
        <w:rPr>
          <w:rFonts w:asciiTheme="minorHAnsi" w:hAnsiTheme="minorHAnsi" w:cs="Arial"/>
          <w:b/>
          <w:color w:val="333333"/>
          <w:sz w:val="36"/>
          <w:szCs w:val="36"/>
        </w:rPr>
        <w:t>CANDIDATE ARRIVING LATE TO AN EXAM</w:t>
      </w:r>
    </w:p>
    <w:p w:rsidR="00F87F75" w:rsidRDefault="006334E5">
      <w:pPr>
        <w:jc w:val="center"/>
        <w:rPr>
          <w:rFonts w:asciiTheme="minorHAnsi" w:hAnsiTheme="minorHAnsi" w:cs="Arial"/>
          <w:b/>
          <w:color w:val="333333"/>
          <w:sz w:val="36"/>
          <w:szCs w:val="36"/>
        </w:rPr>
      </w:pPr>
      <w:r>
        <w:rPr>
          <w:rFonts w:asciiTheme="minorHAnsi" w:hAnsiTheme="minorHAnsi" w:cs="Arial"/>
          <w:b/>
          <w:color w:val="333333"/>
          <w:sz w:val="36"/>
          <w:szCs w:val="36"/>
        </w:rPr>
        <w:t>PARENT/CARER STATEMENT</w:t>
      </w:r>
    </w:p>
    <w:p w:rsidR="00F87F75" w:rsidRDefault="00F87F75">
      <w:pPr>
        <w:rPr>
          <w:rFonts w:asciiTheme="minorHAnsi" w:hAnsiTheme="minorHAnsi" w:cs="Arial"/>
          <w:b/>
          <w:color w:val="333333"/>
          <w:sz w:val="36"/>
          <w:szCs w:val="3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5877"/>
      </w:tblGrid>
      <w:tr w:rsidR="00F87F75">
        <w:tc>
          <w:tcPr>
            <w:tcW w:w="3227" w:type="dxa"/>
          </w:tcPr>
          <w:p w:rsidR="00F87F75" w:rsidRDefault="006334E5">
            <w:pPr>
              <w:rPr>
                <w:rFonts w:asciiTheme="minorHAnsi" w:hAnsiTheme="minorHAnsi" w:cs="Arial"/>
                <w:b/>
                <w:color w:val="333333"/>
                <w:sz w:val="28"/>
                <w:szCs w:val="28"/>
              </w:rPr>
            </w:pPr>
            <w:r>
              <w:rPr>
                <w:rFonts w:asciiTheme="minorHAnsi" w:hAnsiTheme="minorHAnsi" w:cs="Arial"/>
                <w:b/>
                <w:color w:val="333333"/>
                <w:sz w:val="28"/>
                <w:szCs w:val="28"/>
              </w:rPr>
              <w:t>Name of Candidate:</w:t>
            </w:r>
          </w:p>
        </w:tc>
        <w:tc>
          <w:tcPr>
            <w:tcW w:w="6059" w:type="dxa"/>
          </w:tcPr>
          <w:p w:rsidR="00F87F75" w:rsidRDefault="00F87F75">
            <w:pPr>
              <w:rPr>
                <w:rFonts w:asciiTheme="minorHAnsi" w:hAnsiTheme="minorHAnsi" w:cs="Arial"/>
                <w:b/>
                <w:color w:val="333333"/>
                <w:sz w:val="36"/>
                <w:szCs w:val="36"/>
              </w:rPr>
            </w:pPr>
          </w:p>
        </w:tc>
      </w:tr>
      <w:tr w:rsidR="00F87F75">
        <w:tc>
          <w:tcPr>
            <w:tcW w:w="3227" w:type="dxa"/>
          </w:tcPr>
          <w:p w:rsidR="00F87F75" w:rsidRDefault="006334E5">
            <w:pPr>
              <w:rPr>
                <w:rFonts w:asciiTheme="minorHAnsi" w:hAnsiTheme="minorHAnsi" w:cs="Arial"/>
                <w:b/>
                <w:color w:val="333333"/>
                <w:sz w:val="28"/>
                <w:szCs w:val="28"/>
              </w:rPr>
            </w:pPr>
            <w:r>
              <w:rPr>
                <w:rFonts w:asciiTheme="minorHAnsi" w:hAnsiTheme="minorHAnsi" w:cs="Arial"/>
                <w:b/>
                <w:color w:val="333333"/>
                <w:sz w:val="28"/>
                <w:szCs w:val="28"/>
              </w:rPr>
              <w:t>Date:</w:t>
            </w:r>
          </w:p>
        </w:tc>
        <w:tc>
          <w:tcPr>
            <w:tcW w:w="6059" w:type="dxa"/>
          </w:tcPr>
          <w:p w:rsidR="00F87F75" w:rsidRDefault="00F87F75">
            <w:pPr>
              <w:rPr>
                <w:rFonts w:asciiTheme="minorHAnsi" w:hAnsiTheme="minorHAnsi" w:cs="Arial"/>
                <w:b/>
                <w:color w:val="333333"/>
                <w:sz w:val="36"/>
                <w:szCs w:val="36"/>
              </w:rPr>
            </w:pPr>
          </w:p>
        </w:tc>
      </w:tr>
      <w:tr w:rsidR="00F87F75">
        <w:tc>
          <w:tcPr>
            <w:tcW w:w="3227" w:type="dxa"/>
          </w:tcPr>
          <w:p w:rsidR="00F87F75" w:rsidRDefault="006334E5">
            <w:pPr>
              <w:rPr>
                <w:rFonts w:asciiTheme="minorHAnsi" w:hAnsiTheme="minorHAnsi" w:cs="Arial"/>
                <w:b/>
                <w:color w:val="333333"/>
                <w:sz w:val="28"/>
                <w:szCs w:val="28"/>
              </w:rPr>
            </w:pPr>
            <w:r>
              <w:rPr>
                <w:rFonts w:asciiTheme="minorHAnsi" w:hAnsiTheme="minorHAnsi" w:cs="Arial"/>
                <w:b/>
                <w:color w:val="333333"/>
                <w:sz w:val="28"/>
                <w:szCs w:val="28"/>
              </w:rPr>
              <w:t>Time of Arrival:</w:t>
            </w:r>
          </w:p>
        </w:tc>
        <w:tc>
          <w:tcPr>
            <w:tcW w:w="6059" w:type="dxa"/>
          </w:tcPr>
          <w:p w:rsidR="00F87F75" w:rsidRDefault="00F87F75">
            <w:pPr>
              <w:rPr>
                <w:rFonts w:asciiTheme="minorHAnsi" w:hAnsiTheme="minorHAnsi" w:cs="Arial"/>
                <w:b/>
                <w:color w:val="333333"/>
                <w:sz w:val="36"/>
                <w:szCs w:val="36"/>
              </w:rPr>
            </w:pPr>
          </w:p>
        </w:tc>
      </w:tr>
      <w:tr w:rsidR="00F87F75">
        <w:tc>
          <w:tcPr>
            <w:tcW w:w="3227" w:type="dxa"/>
          </w:tcPr>
          <w:p w:rsidR="00F87F75" w:rsidRDefault="006334E5">
            <w:pPr>
              <w:rPr>
                <w:rFonts w:asciiTheme="minorHAnsi" w:hAnsiTheme="minorHAnsi" w:cs="Arial"/>
                <w:b/>
                <w:color w:val="333333"/>
                <w:sz w:val="28"/>
                <w:szCs w:val="28"/>
              </w:rPr>
            </w:pPr>
            <w:r>
              <w:rPr>
                <w:rFonts w:asciiTheme="minorHAnsi" w:hAnsiTheme="minorHAnsi" w:cs="Arial"/>
                <w:b/>
                <w:color w:val="333333"/>
                <w:sz w:val="28"/>
                <w:szCs w:val="28"/>
              </w:rPr>
              <w:t>Name of Parent/Carer:</w:t>
            </w:r>
          </w:p>
        </w:tc>
        <w:tc>
          <w:tcPr>
            <w:tcW w:w="6059" w:type="dxa"/>
          </w:tcPr>
          <w:p w:rsidR="00F87F75" w:rsidRDefault="00F87F75">
            <w:pPr>
              <w:rPr>
                <w:rFonts w:asciiTheme="minorHAnsi" w:hAnsiTheme="minorHAnsi" w:cs="Arial"/>
                <w:b/>
                <w:color w:val="333333"/>
                <w:sz w:val="36"/>
                <w:szCs w:val="36"/>
              </w:rPr>
            </w:pPr>
          </w:p>
        </w:tc>
      </w:tr>
      <w:tr w:rsidR="00F87F75">
        <w:tc>
          <w:tcPr>
            <w:tcW w:w="3227" w:type="dxa"/>
          </w:tcPr>
          <w:p w:rsidR="00F87F75" w:rsidRDefault="006334E5">
            <w:pPr>
              <w:rPr>
                <w:rFonts w:asciiTheme="minorHAnsi" w:hAnsiTheme="minorHAnsi" w:cs="Arial"/>
                <w:b/>
                <w:color w:val="333333"/>
                <w:sz w:val="28"/>
                <w:szCs w:val="28"/>
              </w:rPr>
            </w:pPr>
            <w:r>
              <w:rPr>
                <w:rFonts w:asciiTheme="minorHAnsi" w:hAnsiTheme="minorHAnsi" w:cs="Arial"/>
                <w:b/>
                <w:color w:val="333333"/>
                <w:sz w:val="28"/>
                <w:szCs w:val="28"/>
              </w:rPr>
              <w:t>Reason for Late Arrival:</w:t>
            </w:r>
          </w:p>
        </w:tc>
        <w:tc>
          <w:tcPr>
            <w:tcW w:w="6059" w:type="dxa"/>
          </w:tcPr>
          <w:p w:rsidR="00F87F75" w:rsidRDefault="00F87F75">
            <w:pPr>
              <w:rPr>
                <w:rFonts w:asciiTheme="minorHAnsi" w:hAnsiTheme="minorHAnsi" w:cs="Arial"/>
                <w:b/>
                <w:color w:val="333333"/>
                <w:sz w:val="36"/>
                <w:szCs w:val="36"/>
              </w:rPr>
            </w:pPr>
          </w:p>
          <w:p w:rsidR="00F87F75" w:rsidRDefault="00F87F75">
            <w:pPr>
              <w:rPr>
                <w:rFonts w:asciiTheme="minorHAnsi" w:hAnsiTheme="minorHAnsi" w:cs="Arial"/>
                <w:b/>
                <w:color w:val="333333"/>
                <w:sz w:val="36"/>
                <w:szCs w:val="36"/>
              </w:rPr>
            </w:pPr>
          </w:p>
          <w:p w:rsidR="00F87F75" w:rsidRDefault="00F87F75">
            <w:pPr>
              <w:rPr>
                <w:rFonts w:asciiTheme="minorHAnsi" w:hAnsiTheme="minorHAnsi" w:cs="Arial"/>
                <w:b/>
                <w:color w:val="333333"/>
                <w:sz w:val="36"/>
                <w:szCs w:val="36"/>
              </w:rPr>
            </w:pPr>
          </w:p>
          <w:p w:rsidR="00F87F75" w:rsidRDefault="00F87F75">
            <w:pPr>
              <w:rPr>
                <w:rFonts w:asciiTheme="minorHAnsi" w:hAnsiTheme="minorHAnsi" w:cs="Arial"/>
                <w:b/>
                <w:color w:val="333333"/>
                <w:sz w:val="36"/>
                <w:szCs w:val="36"/>
              </w:rPr>
            </w:pPr>
          </w:p>
          <w:p w:rsidR="00F87F75" w:rsidRDefault="00F87F75">
            <w:pPr>
              <w:rPr>
                <w:rFonts w:asciiTheme="minorHAnsi" w:hAnsiTheme="minorHAnsi" w:cs="Arial"/>
                <w:b/>
                <w:color w:val="333333"/>
                <w:sz w:val="36"/>
                <w:szCs w:val="36"/>
              </w:rPr>
            </w:pPr>
          </w:p>
        </w:tc>
      </w:tr>
    </w:tbl>
    <w:p w:rsidR="00F87F75" w:rsidRDefault="00F87F75">
      <w:pPr>
        <w:rPr>
          <w:rFonts w:asciiTheme="minorHAnsi" w:hAnsiTheme="minorHAnsi" w:cs="Arial"/>
          <w:b/>
          <w:color w:val="333333"/>
          <w:sz w:val="36"/>
          <w:szCs w:val="36"/>
        </w:rPr>
      </w:pPr>
    </w:p>
    <w:p w:rsidR="00F87F75" w:rsidRDefault="00F87F75">
      <w:pPr>
        <w:rPr>
          <w:rFonts w:asciiTheme="minorHAnsi" w:hAnsiTheme="minorHAnsi" w:cs="Arial"/>
          <w:b/>
          <w:color w:val="333333"/>
          <w:sz w:val="36"/>
          <w:szCs w:val="36"/>
        </w:rPr>
      </w:pPr>
    </w:p>
    <w:p w:rsidR="00F87F75" w:rsidRDefault="006334E5">
      <w:pPr>
        <w:spacing w:line="360" w:lineRule="auto"/>
        <w:rPr>
          <w:rFonts w:asciiTheme="minorHAnsi" w:hAnsiTheme="minorHAnsi" w:cs="Arial"/>
          <w:color w:val="333333"/>
        </w:rPr>
      </w:pPr>
      <w:r>
        <w:rPr>
          <w:rFonts w:asciiTheme="minorHAnsi" w:hAnsiTheme="minorHAnsi" w:cs="Arial"/>
          <w:color w:val="333333"/>
        </w:rPr>
        <w:t>I can confirm that the above candidate was fully supervised in line with Joint Council for Qualifications (JCQ) regulations from ……………………… (time) until they were handed over to the Examinations Manager at St Michael’s Catholic School.</w:t>
      </w:r>
    </w:p>
    <w:p w:rsidR="00F87F75" w:rsidRDefault="00F87F75">
      <w:pPr>
        <w:rPr>
          <w:rFonts w:asciiTheme="minorHAnsi" w:hAnsiTheme="minorHAnsi" w:cs="Arial"/>
          <w:color w:val="333333"/>
        </w:rPr>
      </w:pPr>
    </w:p>
    <w:p w:rsidR="00F87F75" w:rsidRDefault="00F87F75">
      <w:pPr>
        <w:rPr>
          <w:rFonts w:asciiTheme="minorHAnsi" w:hAnsiTheme="minorHAnsi" w:cs="Arial"/>
          <w:color w:val="333333"/>
        </w:rPr>
      </w:pPr>
    </w:p>
    <w:p w:rsidR="00F87F75" w:rsidRDefault="00F87F75">
      <w:pPr>
        <w:rPr>
          <w:rFonts w:asciiTheme="minorHAnsi" w:hAnsiTheme="minorHAnsi" w:cs="Arial"/>
          <w:color w:val="333333"/>
        </w:rPr>
      </w:pPr>
    </w:p>
    <w:p w:rsidR="00F87F75" w:rsidRDefault="006334E5">
      <w:pPr>
        <w:rPr>
          <w:rFonts w:asciiTheme="minorHAnsi" w:hAnsiTheme="minorHAnsi" w:cs="Arial"/>
          <w:color w:val="333333"/>
        </w:rPr>
      </w:pPr>
      <w:r>
        <w:rPr>
          <w:rFonts w:asciiTheme="minorHAnsi" w:hAnsiTheme="minorHAnsi" w:cs="Arial"/>
          <w:color w:val="333333"/>
        </w:rPr>
        <w:t>Signed:</w:t>
      </w:r>
      <w:r>
        <w:rPr>
          <w:rFonts w:asciiTheme="minorHAnsi" w:hAnsiTheme="minorHAnsi" w:cs="Arial"/>
          <w:color w:val="333333"/>
        </w:rPr>
        <w:tab/>
      </w:r>
      <w:r>
        <w:rPr>
          <w:rFonts w:asciiTheme="minorHAnsi" w:hAnsiTheme="minorHAnsi" w:cs="Arial"/>
          <w:color w:val="333333"/>
        </w:rPr>
        <w:tab/>
      </w:r>
      <w:r>
        <w:rPr>
          <w:rFonts w:asciiTheme="minorHAnsi" w:hAnsiTheme="minorHAnsi" w:cs="Arial"/>
          <w:color w:val="333333"/>
        </w:rPr>
        <w:tab/>
      </w:r>
      <w:r>
        <w:rPr>
          <w:rFonts w:asciiTheme="minorHAnsi" w:hAnsiTheme="minorHAnsi" w:cs="Arial"/>
          <w:color w:val="333333"/>
        </w:rPr>
        <w:tab/>
      </w:r>
      <w:r>
        <w:rPr>
          <w:rFonts w:asciiTheme="minorHAnsi" w:hAnsiTheme="minorHAnsi" w:cs="Arial"/>
          <w:color w:val="333333"/>
        </w:rPr>
        <w:tab/>
      </w:r>
      <w:r>
        <w:rPr>
          <w:rFonts w:asciiTheme="minorHAnsi" w:hAnsiTheme="minorHAnsi" w:cs="Arial"/>
          <w:color w:val="333333"/>
        </w:rPr>
        <w:tab/>
      </w:r>
      <w:r>
        <w:rPr>
          <w:rFonts w:asciiTheme="minorHAnsi" w:hAnsiTheme="minorHAnsi" w:cs="Arial"/>
          <w:color w:val="333333"/>
        </w:rPr>
        <w:tab/>
        <w:t>Date:</w:t>
      </w:r>
    </w:p>
    <w:p w:rsidR="00F87F75" w:rsidRDefault="00F87F75">
      <w:pPr>
        <w:rPr>
          <w:rFonts w:asciiTheme="minorHAnsi" w:hAnsiTheme="minorHAnsi" w:cs="Arial"/>
          <w:color w:val="333333"/>
        </w:rPr>
      </w:pPr>
    </w:p>
    <w:p w:rsidR="00F87F75" w:rsidRDefault="006334E5">
      <w:pPr>
        <w:rPr>
          <w:rFonts w:asciiTheme="minorHAnsi" w:hAnsiTheme="minorHAnsi" w:cs="Arial"/>
          <w:color w:val="333333"/>
        </w:rPr>
      </w:pPr>
      <w:r>
        <w:rPr>
          <w:rFonts w:asciiTheme="minorHAnsi" w:hAnsiTheme="minorHAnsi" w:cs="Arial"/>
          <w:color w:val="333333"/>
        </w:rPr>
        <w:t>Print Name:</w:t>
      </w:r>
    </w:p>
    <w:sectPr w:rsidR="00F87F75">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F75" w:rsidRDefault="006334E5">
      <w:pPr>
        <w:spacing w:after="0"/>
      </w:pPr>
      <w:r>
        <w:separator/>
      </w:r>
    </w:p>
  </w:endnote>
  <w:endnote w:type="continuationSeparator" w:id="0">
    <w:p w:rsidR="00F87F75" w:rsidRDefault="00633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F75" w:rsidRDefault="00F87F75">
    <w:pPr>
      <w:pStyle w:val="Footer"/>
      <w:jc w:val="right"/>
      <w:rPr>
        <w:rFonts w:cs="Arial"/>
        <w:sz w:val="20"/>
        <w:szCs w:val="20"/>
      </w:rPr>
    </w:pPr>
  </w:p>
  <w:p w:rsidR="00F87F75" w:rsidRDefault="006334E5">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F75" w:rsidRDefault="006334E5">
      <w:pPr>
        <w:spacing w:after="0"/>
      </w:pPr>
      <w:r>
        <w:separator/>
      </w:r>
    </w:p>
  </w:footnote>
  <w:footnote w:type="continuationSeparator" w:id="0">
    <w:p w:rsidR="00F87F75" w:rsidRDefault="006334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6217"/>
    <w:multiLevelType w:val="hybridMultilevel"/>
    <w:tmpl w:val="B972B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234181"/>
    <w:multiLevelType w:val="hybridMultilevel"/>
    <w:tmpl w:val="396C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47AB3"/>
    <w:multiLevelType w:val="hybridMultilevel"/>
    <w:tmpl w:val="39FCF5BA"/>
    <w:lvl w:ilvl="0" w:tplc="6B643374">
      <w:numFmt w:val="bullet"/>
      <w:lvlText w:val="•"/>
      <w:lvlJc w:val="left"/>
      <w:pPr>
        <w:ind w:left="1080" w:hanging="360"/>
      </w:pPr>
      <w:rPr>
        <w:rFonts w:ascii="Arial" w:eastAsia="ArialMT"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4B7604"/>
    <w:multiLevelType w:val="hybridMultilevel"/>
    <w:tmpl w:val="6D748A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11E13"/>
    <w:multiLevelType w:val="hybridMultilevel"/>
    <w:tmpl w:val="E2F800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D495C"/>
    <w:multiLevelType w:val="hybridMultilevel"/>
    <w:tmpl w:val="44DAD794"/>
    <w:lvl w:ilvl="0" w:tplc="24C05B84">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0481D"/>
    <w:multiLevelType w:val="hybridMultilevel"/>
    <w:tmpl w:val="ABEE33B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875D6B"/>
    <w:multiLevelType w:val="hybridMultilevel"/>
    <w:tmpl w:val="77C2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5290E"/>
    <w:multiLevelType w:val="hybridMultilevel"/>
    <w:tmpl w:val="7C74D144"/>
    <w:lvl w:ilvl="0" w:tplc="6B643374">
      <w:numFmt w:val="bullet"/>
      <w:lvlText w:val="•"/>
      <w:lvlJc w:val="left"/>
      <w:pPr>
        <w:ind w:left="1080" w:hanging="360"/>
      </w:pPr>
      <w:rPr>
        <w:rFonts w:ascii="Arial" w:eastAsia="Arial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B10AB"/>
    <w:multiLevelType w:val="hybridMultilevel"/>
    <w:tmpl w:val="39284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1627FB4"/>
    <w:multiLevelType w:val="hybridMultilevel"/>
    <w:tmpl w:val="BCE63F0E"/>
    <w:lvl w:ilvl="0" w:tplc="24C05B84">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93563"/>
    <w:multiLevelType w:val="hybridMultilevel"/>
    <w:tmpl w:val="43266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C212A"/>
    <w:multiLevelType w:val="multilevel"/>
    <w:tmpl w:val="1C368390"/>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C8434A"/>
    <w:multiLevelType w:val="hybridMultilevel"/>
    <w:tmpl w:val="D75E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34EAB"/>
    <w:multiLevelType w:val="hybridMultilevel"/>
    <w:tmpl w:val="892E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644BFC"/>
    <w:multiLevelType w:val="hybridMultilevel"/>
    <w:tmpl w:val="2AA6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A236A"/>
    <w:multiLevelType w:val="hybridMultilevel"/>
    <w:tmpl w:val="86D89A4A"/>
    <w:lvl w:ilvl="0" w:tplc="24C05B84">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363B9"/>
    <w:multiLevelType w:val="hybridMultilevel"/>
    <w:tmpl w:val="0C4C34FC"/>
    <w:lvl w:ilvl="0" w:tplc="24C05B84">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6D23B0"/>
    <w:multiLevelType w:val="hybridMultilevel"/>
    <w:tmpl w:val="BCFC89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5"/>
  </w:num>
  <w:num w:numId="2">
    <w:abstractNumId w:val="18"/>
  </w:num>
  <w:num w:numId="3">
    <w:abstractNumId w:val="5"/>
  </w:num>
  <w:num w:numId="4">
    <w:abstractNumId w:val="6"/>
  </w:num>
  <w:num w:numId="5">
    <w:abstractNumId w:val="19"/>
  </w:num>
  <w:num w:numId="6">
    <w:abstractNumId w:val="7"/>
  </w:num>
  <w:num w:numId="7">
    <w:abstractNumId w:val="10"/>
  </w:num>
  <w:num w:numId="8">
    <w:abstractNumId w:val="17"/>
  </w:num>
  <w:num w:numId="9">
    <w:abstractNumId w:val="12"/>
  </w:num>
  <w:num w:numId="10">
    <w:abstractNumId w:val="2"/>
  </w:num>
  <w:num w:numId="11">
    <w:abstractNumId w:val="8"/>
  </w:num>
  <w:num w:numId="12">
    <w:abstractNumId w:val="13"/>
  </w:num>
  <w:num w:numId="13">
    <w:abstractNumId w:val="14"/>
  </w:num>
  <w:num w:numId="14">
    <w:abstractNumId w:val="0"/>
  </w:num>
  <w:num w:numId="15">
    <w:abstractNumId w:val="11"/>
  </w:num>
  <w:num w:numId="16">
    <w:abstractNumId w:val="3"/>
  </w:num>
  <w:num w:numId="17">
    <w:abstractNumId w:val="4"/>
  </w:num>
  <w:num w:numId="18">
    <w:abstractNumId w:val="1"/>
  </w:num>
  <w:num w:numId="19">
    <w:abstractNumId w:val="9"/>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75"/>
    <w:rsid w:val="006334E5"/>
    <w:rsid w:val="00A03824"/>
    <w:rsid w:val="00F87F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6B49158"/>
  <w15:docId w15:val="{DDBE4EA5-7997-4E6B-872B-70A79384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0" w:line="240" w:lineRule="auto"/>
    </w:pPr>
    <w:rPr>
      <w:rFonts w:ascii="Arial" w:hAnsi="Arial"/>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 w:val="24"/>
      <w:szCs w:val="24"/>
    </w:rPr>
  </w:style>
  <w:style w:type="paragraph" w:styleId="ListParagraph">
    <w:name w:val="List Paragraph"/>
    <w:basedOn w:val="Normal"/>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uiPriority w:val="99"/>
    <w:semiHidden/>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customStyle="1" w:styleId="BodyTextIndentChar">
    <w:name w:val="Body Text Indent Char"/>
    <w:basedOn w:val="DefaultParagraphFont"/>
    <w:link w:val="BodyTextIndent"/>
    <w:rPr>
      <w:rFonts w:ascii="Arial" w:eastAsia="Times New Roman" w:hAnsi="Arial"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customStyle="1" w:styleId="BodyTextChar">
    <w:name w:val="Body Text Char"/>
    <w:basedOn w:val="DefaultParagraphFont"/>
    <w:link w:val="BodyText"/>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2024/25</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F17534828EEB41BE893BC71721DA60" ma:contentTypeVersion="15" ma:contentTypeDescription="Create a new document." ma:contentTypeScope="" ma:versionID="5e7910a532de369f1b18cdbaabcc09ee">
  <xsd:schema xmlns:xsd="http://www.w3.org/2001/XMLSchema" xmlns:xs="http://www.w3.org/2001/XMLSchema" xmlns:p="http://schemas.microsoft.com/office/2006/metadata/properties" xmlns:ns2="e8bfadbe-1b8d-41d1-96c8-d7fcadc46b8a" xmlns:ns3="0c00137f-3614-42ac-bafc-fb48f96eef97" targetNamespace="http://schemas.microsoft.com/office/2006/metadata/properties" ma:root="true" ma:fieldsID="b56e9b8434ae2620e6701674a282e655" ns2:_="" ns3:_="">
    <xsd:import namespace="e8bfadbe-1b8d-41d1-96c8-d7fcadc46b8a"/>
    <xsd:import namespace="0c00137f-3614-42ac-bafc-fb48f96eef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fadbe-1b8d-41d1-96c8-d7fcadc46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0137f-3614-42ac-bafc-fb48f96eef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bab825-091b-4f31-862d-038ebce96f51}" ma:internalName="TaxCatchAll" ma:showField="CatchAllData" ma:web="0c00137f-3614-42ac-bafc-fb48f96ee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c00137f-3614-42ac-bafc-fb48f96eef97" xsi:nil="true"/>
    <lcf76f155ced4ddcb4097134ff3c332f xmlns="e8bfadbe-1b8d-41d1-96c8-d7fcadc46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5E5EA7-E8D8-4A5A-B1F8-29B47482ACE9}">
  <ds:schemaRefs>
    <ds:schemaRef ds:uri="http://schemas.openxmlformats.org/officeDocument/2006/bibliography"/>
  </ds:schemaRefs>
</ds:datastoreItem>
</file>

<file path=customXml/itemProps3.xml><?xml version="1.0" encoding="utf-8"?>
<ds:datastoreItem xmlns:ds="http://schemas.openxmlformats.org/officeDocument/2006/customXml" ds:itemID="{054F1577-8879-4228-810B-709D81E4E8F9}"/>
</file>

<file path=customXml/itemProps4.xml><?xml version="1.0" encoding="utf-8"?>
<ds:datastoreItem xmlns:ds="http://schemas.openxmlformats.org/officeDocument/2006/customXml" ds:itemID="{5B9AA840-DABB-4C05-86EA-9142D0B2476E}"/>
</file>

<file path=customXml/itemProps5.xml><?xml version="1.0" encoding="utf-8"?>
<ds:datastoreItem xmlns:ds="http://schemas.openxmlformats.org/officeDocument/2006/customXml" ds:itemID="{EF7F0956-6EF7-4EA4-983B-906F967866C2}"/>
</file>

<file path=docProps/app.xml><?xml version="1.0" encoding="utf-8"?>
<Properties xmlns="http://schemas.openxmlformats.org/officeDocument/2006/extended-properties" xmlns:vt="http://schemas.openxmlformats.org/officeDocument/2006/docPropsVTypes">
  <Template>Normal</Template>
  <TotalTime>27</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Late Arrival to Exams</vt:lpstr>
    </vt:vector>
  </TitlesOfParts>
  <Company>Institute of Education</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Arrival to Exams</dc:title>
  <dc:subject>This policy is reviewed annually to ensure compliance with current regulations</dc:subject>
  <dc:creator>localuser</dc:creator>
  <cp:lastModifiedBy>J Watson</cp:lastModifiedBy>
  <cp:revision>6</cp:revision>
  <cp:lastPrinted>2022-10-05T13:05:00Z</cp:lastPrinted>
  <dcterms:created xsi:type="dcterms:W3CDTF">2021-10-21T13:44:00Z</dcterms:created>
  <dcterms:modified xsi:type="dcterms:W3CDTF">2024-10-11T14:21:00Z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0x01010015F17534828EEB41BE893BC71721DA60</vt:lpwstr>
  </property>
</Properties>
</file>